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A1" w:rsidRPr="00FD3498" w:rsidRDefault="00D503A1" w:rsidP="00D503A1">
      <w:pPr>
        <w:jc w:val="center"/>
        <w:rPr>
          <w:rFonts w:ascii="Algerian" w:hAnsi="Algerian" w:cs="Times New Roman"/>
          <w:b/>
          <w:color w:val="FF0000"/>
          <w:sz w:val="32"/>
          <w:szCs w:val="32"/>
        </w:rPr>
      </w:pPr>
      <w:r>
        <w:rPr>
          <w:rFonts w:ascii="Algerian" w:hAnsi="Algerian" w:cs="Times New Roman"/>
          <w:b/>
          <w:color w:val="FF0000"/>
          <w:sz w:val="32"/>
          <w:szCs w:val="32"/>
        </w:rPr>
        <w:t>ZÁPIS K P</w:t>
      </w:r>
      <w:r>
        <w:rPr>
          <w:rFonts w:ascii="Cambria" w:hAnsi="Cambria" w:cs="Cambria"/>
          <w:b/>
          <w:color w:val="FF0000"/>
          <w:sz w:val="32"/>
          <w:szCs w:val="32"/>
        </w:rPr>
        <w:t>Ř</w:t>
      </w:r>
      <w:r>
        <w:rPr>
          <w:rFonts w:ascii="Algerian" w:hAnsi="Algerian" w:cs="Times New Roman"/>
          <w:b/>
          <w:color w:val="FF0000"/>
          <w:sz w:val="32"/>
          <w:szCs w:val="32"/>
        </w:rPr>
        <w:t>ED</w:t>
      </w:r>
      <w:r>
        <w:rPr>
          <w:rFonts w:ascii="Algerian" w:hAnsi="Algerian" w:cs="Algerian"/>
          <w:b/>
          <w:color w:val="FF0000"/>
          <w:sz w:val="32"/>
          <w:szCs w:val="32"/>
        </w:rPr>
        <w:t>Š</w:t>
      </w:r>
      <w:r>
        <w:rPr>
          <w:rFonts w:ascii="Algerian" w:hAnsi="Algerian" w:cs="Times New Roman"/>
          <w:b/>
          <w:color w:val="FF0000"/>
          <w:sz w:val="32"/>
          <w:szCs w:val="32"/>
        </w:rPr>
        <w:t>KOLN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>MU VZD</w:t>
      </w:r>
      <w:r>
        <w:rPr>
          <w:rFonts w:ascii="Cambria" w:hAnsi="Cambria" w:cs="Cambria"/>
          <w:b/>
          <w:color w:val="FF0000"/>
          <w:sz w:val="32"/>
          <w:szCs w:val="32"/>
        </w:rPr>
        <w:t>Ě</w:t>
      </w:r>
      <w:r>
        <w:rPr>
          <w:rFonts w:ascii="Algerian" w:hAnsi="Algerian" w:cs="Times New Roman"/>
          <w:b/>
          <w:color w:val="FF0000"/>
          <w:sz w:val="32"/>
          <w:szCs w:val="32"/>
        </w:rPr>
        <w:t>L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V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 xml:space="preserve"> </w:t>
      </w:r>
      <w:r w:rsidRPr="00956174">
        <w:rPr>
          <w:noProof/>
          <w:lang w:eastAsia="cs-CZ"/>
        </w:rPr>
        <w:drawing>
          <wp:inline distT="0" distB="0" distL="0" distR="0" wp14:anchorId="1D0E405E" wp14:editId="46C814DD">
            <wp:extent cx="1095375" cy="1095375"/>
            <wp:effectExtent l="0" t="0" r="0" b="0"/>
            <wp:docPr id="318579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Mateřská škola Přepeře, okres Semily – příspěvková organizace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, IČO72742135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512 61 PŘEPEŘE 229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Ředitelka Mateřské školy Přepeře v souladu s § 34 zákona č. 561/2005 Sb., zákon o předškolním, základním, středním, vyšším odborném a jiném vzdělávání (školský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 ), ve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znění pozdějších předpisů, stanovila termín a místo konání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Zápisu k  předškolnímu vzdělávání  v Mateřské š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kole Přepeře pro školní rok 2026 – 2027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takto: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2D3129"/>
          <w:sz w:val="24"/>
          <w:szCs w:val="24"/>
          <w:lang w:eastAsia="cs-CZ"/>
        </w:rPr>
        <w:t>Termín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>31.3.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2026</w:t>
      </w:r>
      <w:proofErr w:type="gramEnd"/>
      <w:r w:rsidRPr="00AF2C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 v době od 8,00 do 11,00 hod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E02813"/>
          <w:sz w:val="24"/>
          <w:szCs w:val="24"/>
          <w:u w:val="single"/>
          <w:lang w:eastAsia="cs-CZ"/>
        </w:rPr>
        <w:t>.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Místo: 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cs-CZ"/>
        </w:rPr>
        <w:t>Mateřská škola Přepeře, 512 61 Přepeře 229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Žádost o přijetí dítěte k předškolnímu vzdělávání</w:t>
      </w:r>
    </w:p>
    <w:p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 možné si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vytisknout na našich stránkách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hyperlink r:id="rId6" w:tgtFrame="_blank" w:history="1">
        <w:r w:rsidRPr="007B3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www.msprepere.cz</w:t>
        </w:r>
      </w:hyperlink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 odkaze O NÁS  -   DOKUMENTY ŠKOLY  -  ŽÁDOST O PŘIJETÍ K PŘEDŠKOLNÍMU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VZDĚLÁVÁNÍ :nebo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si ji 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osobně vyzvednout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 v budově Mateřské školy Přepeře </w:t>
      </w:r>
    </w:p>
    <w:p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vyplněnou  a potvrzenou od lékaře o povinném očkování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pak odevzdat v den termínu zápisu.</w:t>
      </w:r>
    </w:p>
    <w:p w:rsidR="00D503A1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Přihlásit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mohou děti na školní rok 2026-2027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é v období od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1.9.2026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 31.8.2027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dosáhnou věku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alespoň 3 let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děti starší. Přednostně jsou přijímány děti s trvalým pobytem v obci Přepeře a Modřišice, ale v případě volných míst, budou přijaty i děti s jiným trval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ým pobytem. Děti jsou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rozděleny do tří tříd.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Dvě třídy jsou smíšené (heterogenní – tedy třídy pro děti ve věku 3-6 let). Nejmenší (tříleté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netříleté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děti) jsou umístěny ve třídě Kuřátek samostatně. 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budou přijímány v souladu s Kritérii pro přijetí, které také najdete na našich stránkách v odkaze O NÁS - KRITÉRIA PRO PŘIJETÍ</w:t>
      </w:r>
    </w:p>
    <w:p w:rsidR="00D503A1" w:rsidRPr="00522E62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KLUBÍK VAJÍČKO (SLOUŽÍ I JAKO DEN OTEVŘENÝCH DVEŘÍ) – PROHLÍDKA PROSTOR MŠ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– PODROBNOSTI NALEZNETE V PŘÍLOZE</w:t>
      </w:r>
    </w:p>
    <w:p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NAHLÉDNOUT DO SPISU</w:t>
      </w:r>
      <w:r w:rsidR="000A7C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SVÉHO DÍTĚTE JE MOŽNÉ </w:t>
      </w:r>
      <w:proofErr w:type="gramStart"/>
      <w:r w:rsidR="000A7C1A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20.4.2026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 DOBĚ OD 10,00 DO 11,00 HODIN V BUDOVĚ MATEŘSKÉ ŠKOLY</w:t>
      </w:r>
    </w:p>
    <w:p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</w:pPr>
      <w:r w:rsidRPr="00D2150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  <w:t>ROZHODNUTÍ O PŘIJETÍ NEBO NEPŘIJETÍ</w:t>
      </w:r>
      <w:bookmarkStart w:id="0" w:name="_GoBack"/>
      <w:bookmarkEnd w:id="0"/>
    </w:p>
    <w:p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21.4.2026</w:t>
      </w:r>
      <w:proofErr w:type="gramEnd"/>
      <w:r w:rsidRPr="00D215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OD 9,00 DO 12,00 </w:t>
      </w:r>
      <w:r w:rsidRPr="00D21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HODIN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VŠICHNI, KDO SI PODALI PŘIHLÁŠKU K PŘEDŠKOLNÍMU VZDĚLÁVÁNÍ NA ŠKOLNÍ ROK 2026-2027 DOSTAVÍ, ABY SE DOZVĚDĚLI VÝSLEDKY PŘIJÍMACÍHO ŘÍZENÍ</w:t>
      </w:r>
    </w:p>
    <w:p w:rsidR="00834A9A" w:rsidRDefault="00834A9A"/>
    <w:sectPr w:rsidR="008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E61"/>
    <w:multiLevelType w:val="multilevel"/>
    <w:tmpl w:val="60C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A1"/>
    <w:rsid w:val="000A7C1A"/>
    <w:rsid w:val="00834A9A"/>
    <w:rsid w:val="00D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F5A4"/>
  <w15:chartTrackingRefBased/>
  <w15:docId w15:val="{645E0D37-CA66-4F9E-90CF-32018A1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reper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Ivana Eichlerová</cp:lastModifiedBy>
  <cp:revision>2</cp:revision>
  <dcterms:created xsi:type="dcterms:W3CDTF">2025-10-23T10:25:00Z</dcterms:created>
  <dcterms:modified xsi:type="dcterms:W3CDTF">2025-10-24T07:39:00Z</dcterms:modified>
</cp:coreProperties>
</file>